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单元三  护理人际关系伦理</w:t>
      </w:r>
      <w:bookmarkStart w:id="1" w:name="_GoBack"/>
      <w:bookmarkEnd w:id="1"/>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4"/>
        <w:gridCol w:w="2131"/>
        <w:gridCol w:w="1751"/>
        <w:gridCol w:w="590"/>
        <w:gridCol w:w="1510"/>
        <w:gridCol w:w="57"/>
        <w:gridCol w:w="3089"/>
        <w:gridCol w:w="30"/>
      </w:tblGrid>
      <w:tr w14:paraId="05DD2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18C2D7CA">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（一）课程概况</w:t>
            </w:r>
          </w:p>
        </w:tc>
      </w:tr>
      <w:tr w14:paraId="0AA4F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0F6098CD">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课程名称</w:t>
            </w:r>
          </w:p>
        </w:tc>
        <w:tc>
          <w:tcPr>
            <w:tcW w:w="4472" w:type="dxa"/>
            <w:gridSpan w:val="3"/>
            <w:shd w:val="clear" w:color="auto" w:fill="auto"/>
          </w:tcPr>
          <w:p w14:paraId="07D2AC7E">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3830243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29E9D534">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普专护理学生</w:t>
            </w:r>
          </w:p>
        </w:tc>
      </w:tr>
      <w:tr w14:paraId="59B23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76C2D52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课程类型</w:t>
            </w:r>
          </w:p>
        </w:tc>
        <w:tc>
          <w:tcPr>
            <w:tcW w:w="4472" w:type="dxa"/>
            <w:gridSpan w:val="3"/>
            <w:shd w:val="clear" w:color="auto" w:fill="auto"/>
          </w:tcPr>
          <w:p w14:paraId="2B77FC4E">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35170C9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504A9E93">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3学时（135分钟）</w:t>
            </w:r>
          </w:p>
        </w:tc>
      </w:tr>
      <w:tr w14:paraId="7C57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14" w:type="dxa"/>
            <w:shd w:val="clear" w:color="auto" w:fill="DEEBF6"/>
            <w:vAlign w:val="center"/>
          </w:tcPr>
          <w:p w14:paraId="25E2B88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授课内容</w:t>
            </w:r>
          </w:p>
        </w:tc>
        <w:tc>
          <w:tcPr>
            <w:tcW w:w="4472" w:type="dxa"/>
            <w:gridSpan w:val="3"/>
            <w:shd w:val="clear" w:color="auto" w:fill="auto"/>
          </w:tcPr>
          <w:p w14:paraId="05CDD535">
            <w:pPr>
              <w:keepNext w:val="0"/>
              <w:keepLines w:val="0"/>
              <w:suppressLineNumbers w:val="0"/>
              <w:spacing w:before="0" w:beforeAutospacing="0" w:after="0" w:afterAutospacing="0" w:line="360" w:lineRule="auto"/>
              <w:ind w:left="0" w:right="0"/>
              <w:rPr>
                <w:rFonts w:hint="default" w:ascii="仿宋" w:hAnsi="仿宋" w:eastAsia="仿宋" w:cs="仿宋"/>
                <w:b/>
                <w:bCs/>
                <w:sz w:val="24"/>
                <w:szCs w:val="24"/>
              </w:rPr>
            </w:pPr>
            <w:r>
              <w:rPr>
                <w:rFonts w:hint="eastAsia" w:ascii="仿宋" w:hAnsi="仿宋" w:eastAsia="仿宋" w:cs="仿宋"/>
                <w:b/>
                <w:bCs/>
                <w:sz w:val="24"/>
                <w:szCs w:val="24"/>
              </w:rPr>
              <w:t>任务一 护理人员与社会的关系及其伦理规范</w:t>
            </w:r>
          </w:p>
          <w:p w14:paraId="447914A4">
            <w:pPr>
              <w:keepNext w:val="0"/>
              <w:keepLines w:val="0"/>
              <w:suppressLineNumbers w:val="0"/>
              <w:spacing w:before="0" w:beforeAutospacing="0" w:after="0" w:afterAutospacing="0" w:line="360" w:lineRule="auto"/>
              <w:ind w:left="0" w:right="0"/>
              <w:rPr>
                <w:rFonts w:hint="default" w:ascii="仿宋" w:hAnsi="仿宋" w:eastAsia="仿宋" w:cs="仿宋"/>
                <w:b/>
                <w:bCs/>
                <w:sz w:val="24"/>
                <w:szCs w:val="24"/>
              </w:rPr>
            </w:pPr>
            <w:r>
              <w:rPr>
                <w:rFonts w:hint="eastAsia" w:ascii="仿宋" w:hAnsi="仿宋" w:eastAsia="仿宋" w:cs="仿宋"/>
                <w:b/>
                <w:bCs/>
                <w:sz w:val="24"/>
                <w:szCs w:val="24"/>
              </w:rPr>
              <w:t>任务二 护患伦理关系</w:t>
            </w:r>
          </w:p>
          <w:p w14:paraId="7419AEDE">
            <w:pPr>
              <w:keepNext w:val="0"/>
              <w:keepLines w:val="0"/>
              <w:suppressLineNumbers w:val="0"/>
              <w:spacing w:before="0" w:beforeAutospacing="0" w:after="0" w:afterAutospacing="0" w:line="360" w:lineRule="auto"/>
              <w:ind w:left="0" w:right="0"/>
              <w:rPr>
                <w:rFonts w:hint="default" w:ascii="仿宋" w:hAnsi="仿宋" w:eastAsia="仿宋" w:cs="仿宋"/>
                <w:b/>
                <w:bCs/>
                <w:sz w:val="18"/>
                <w:szCs w:val="18"/>
              </w:rPr>
            </w:pPr>
            <w:r>
              <w:rPr>
                <w:rFonts w:hint="eastAsia" w:ascii="仿宋" w:hAnsi="仿宋" w:eastAsia="仿宋" w:cs="仿宋"/>
                <w:b/>
                <w:bCs/>
                <w:sz w:val="24"/>
                <w:szCs w:val="24"/>
              </w:rPr>
              <w:t>任务三 护医伦理关系</w:t>
            </w:r>
          </w:p>
        </w:tc>
        <w:tc>
          <w:tcPr>
            <w:tcW w:w="1510" w:type="dxa"/>
            <w:shd w:val="clear" w:color="auto" w:fill="DEEBF6"/>
            <w:vAlign w:val="center"/>
          </w:tcPr>
          <w:p w14:paraId="18566BF1">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4677C89A">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理论</w:t>
            </w:r>
          </w:p>
        </w:tc>
      </w:tr>
      <w:tr w14:paraId="5B94E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933998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（二）教学目标</w:t>
            </w:r>
          </w:p>
        </w:tc>
      </w:tr>
      <w:tr w14:paraId="664D0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7A54A65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1C7D32B1">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0A0E6BD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37831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34F87B5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1.了解人际关系的含义及特点2.熟悉护理人员与社会关系的伦理要求、医患伦理关系</w:t>
            </w:r>
          </w:p>
          <w:p w14:paraId="3B9F7C6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3.掌握护患关系的基本模式、护患冲突及调适</w:t>
            </w:r>
          </w:p>
        </w:tc>
        <w:tc>
          <w:tcPr>
            <w:tcW w:w="3908" w:type="dxa"/>
            <w:gridSpan w:val="4"/>
          </w:tcPr>
          <w:p w14:paraId="7073B10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1.学会护患关系冲突的调适及护理人员与其他义务工作者之间的伦理规范</w:t>
            </w:r>
          </w:p>
          <w:p w14:paraId="0B0B792C">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2.会利用护患关系调适的原则解决护患关系中的伦理问题</w:t>
            </w:r>
          </w:p>
        </w:tc>
        <w:tc>
          <w:tcPr>
            <w:tcW w:w="3119" w:type="dxa"/>
            <w:gridSpan w:val="2"/>
          </w:tcPr>
          <w:p w14:paraId="5234328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具有较强的人际交往和沟通能力</w:t>
            </w:r>
          </w:p>
        </w:tc>
      </w:tr>
      <w:tr w14:paraId="075E6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3B5357D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（三）学情分析</w:t>
            </w:r>
          </w:p>
        </w:tc>
      </w:tr>
      <w:tr w14:paraId="3F879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4BCFEE66">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rPr>
            </w:pPr>
            <w:r>
              <w:rPr>
                <w:rFonts w:hint="eastAsia" w:ascii="仿宋" w:hAnsi="仿宋" w:eastAsia="仿宋" w:cs="仿宋"/>
                <w:sz w:val="24"/>
              </w:rPr>
              <w:t xml:space="preserve">普专护理的学生已经学了护理学相关的理论知识，学习了前二个单元的知识，知道了护理伦理学的概述、理论基础和规范体系。对护理伦理学的理论基础有所提升，需进一步的加强护理人际关系伦理的学习。课前进行问卷调研，大部分同学对已学护理伦理学知识掌握程度好，会运用所学伦理知识分析问题，但对于人际关系伦理了解较少。 </w:t>
            </w:r>
          </w:p>
          <w:p w14:paraId="02F9ADA7">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rPr>
            </w:pPr>
            <w:r>
              <w:rPr>
                <w:rFonts w:hint="eastAsia" w:ascii="仿宋" w:hAnsi="仿宋" w:eastAsia="仿宋" w:cs="仿宋"/>
                <w:sz w:val="24"/>
              </w:rPr>
              <w:t>应加强人际关系伦理的讲解，培养科学地建立和调节各种护理人际关系理念。</w:t>
            </w:r>
          </w:p>
        </w:tc>
      </w:tr>
      <w:tr w14:paraId="36D1F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4FBA3D6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lang w:bidi="ar"/>
              </w:rPr>
              <w:t>（四）教学方法</w:t>
            </w:r>
          </w:p>
        </w:tc>
      </w:tr>
      <w:tr w14:paraId="10740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3139C62A">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lang w:bidi="ar"/>
              </w:rPr>
            </w:pPr>
            <w:r>
              <w:rPr>
                <w:rFonts w:hint="eastAsia" w:ascii="仿宋" w:hAnsi="仿宋" w:eastAsia="仿宋" w:cs="仿宋"/>
                <w:sz w:val="24"/>
                <w:lang w:bidi="ar"/>
              </w:rPr>
              <w:t>案例导入法、小组教学法、多维评价教学法</w:t>
            </w:r>
          </w:p>
        </w:tc>
      </w:tr>
      <w:tr w14:paraId="68F0C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4F5E1FA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lang w:bidi="ar"/>
              </w:rPr>
              <w:t>（五）教学手段</w:t>
            </w:r>
          </w:p>
        </w:tc>
      </w:tr>
      <w:tr w14:paraId="7613A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77C906B7">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rPr>
            </w:pPr>
            <w:r>
              <w:rPr>
                <w:rFonts w:hint="eastAsia" w:ascii="仿宋" w:hAnsi="仿宋" w:eastAsia="仿宋" w:cs="仿宋"/>
                <w:sz w:val="24"/>
                <w:lang w:bidi="ar"/>
              </w:rPr>
              <w:t>多媒体课件、思维导图、板书、论文、微课</w:t>
            </w:r>
          </w:p>
        </w:tc>
      </w:tr>
      <w:tr w14:paraId="1ABE2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A780E01">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（六）教学内容安排</w:t>
            </w:r>
          </w:p>
        </w:tc>
      </w:tr>
      <w:tr w14:paraId="705CB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0CADF4CE">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知识回顾                             4min</w:t>
            </w:r>
          </w:p>
          <w:p w14:paraId="089527C8">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案例导入                             3min</w:t>
            </w:r>
          </w:p>
          <w:p w14:paraId="5D23C5D2">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护理人员与社会的关系及其伦理规范     40min</w:t>
            </w:r>
          </w:p>
          <w:p w14:paraId="406902E6">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 xml:space="preserve">护患伦理关系                   </w:t>
            </w:r>
            <w:r>
              <w:rPr>
                <w:rFonts w:hint="default" w:ascii="仿宋" w:hAnsi="仿宋" w:eastAsia="仿宋" w:cs="仿宋"/>
                <w:sz w:val="24"/>
              </w:rPr>
              <w:t xml:space="preserve">      </w:t>
            </w:r>
            <w:r>
              <w:rPr>
                <w:rFonts w:hint="eastAsia" w:ascii="仿宋" w:hAnsi="仿宋" w:eastAsia="仿宋" w:cs="仿宋"/>
                <w:sz w:val="24"/>
              </w:rPr>
              <w:t>50min</w:t>
            </w:r>
          </w:p>
          <w:p w14:paraId="17A103D4">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护医伦理关系                         33min</w:t>
            </w:r>
          </w:p>
          <w:p w14:paraId="171CA06E">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总结                                 3min</w:t>
            </w:r>
          </w:p>
          <w:p w14:paraId="40434938">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rPr>
            </w:pPr>
            <w:r>
              <w:rPr>
                <w:rFonts w:hint="eastAsia" w:ascii="仿宋" w:hAnsi="仿宋" w:eastAsia="仿宋" w:cs="仿宋"/>
                <w:sz w:val="24"/>
              </w:rPr>
              <w:t>作业                                 2min</w:t>
            </w:r>
          </w:p>
        </w:tc>
      </w:tr>
      <w:tr w14:paraId="2C1E2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300F46E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551F481B">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教学难点</w:t>
            </w:r>
          </w:p>
        </w:tc>
      </w:tr>
      <w:tr w14:paraId="785D2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top"/>
          </w:tcPr>
          <w:p w14:paraId="1B87E23E">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1.护理人员与社会的关系及其伦理规范</w:t>
            </w:r>
          </w:p>
          <w:p w14:paraId="46FF1DC5">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2.护患伦理规范</w:t>
            </w:r>
          </w:p>
          <w:p w14:paraId="4425DFB7">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r>
              <w:rPr>
                <w:rFonts w:hint="eastAsia" w:ascii="仿宋" w:hAnsi="仿宋" w:eastAsia="仿宋" w:cs="仿宋"/>
                <w:sz w:val="24"/>
              </w:rPr>
              <w:t>3.护医伦理要求</w:t>
            </w:r>
          </w:p>
          <w:p w14:paraId="6FABE1F7">
            <w:pPr>
              <w:keepNext w:val="0"/>
              <w:keepLines w:val="0"/>
              <w:suppressLineNumbers w:val="0"/>
              <w:spacing w:before="0" w:beforeAutospacing="0" w:after="0" w:afterAutospacing="0" w:line="360" w:lineRule="auto"/>
              <w:ind w:left="0" w:right="0"/>
              <w:jc w:val="both"/>
              <w:rPr>
                <w:rFonts w:hint="eastAsia" w:ascii="仿宋" w:hAnsi="仿宋" w:eastAsia="仿宋" w:cs="仿宋"/>
                <w:sz w:val="24"/>
              </w:rPr>
            </w:pPr>
          </w:p>
          <w:p w14:paraId="7C043E74">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对策：</w:t>
            </w:r>
          </w:p>
          <w:p w14:paraId="49DCD336">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问卷调研分析学情，对护理人际关系伦理了解不足；在职教云上传相关微课。</w:t>
            </w:r>
          </w:p>
          <w:p w14:paraId="379FAE30">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课中：</w:t>
            </w:r>
            <w:r>
              <w:rPr>
                <w:rFonts w:hint="eastAsia" w:ascii="仿宋" w:hAnsi="仿宋" w:eastAsia="仿宋" w:cs="仿宋"/>
                <w:b/>
                <w:bCs/>
                <w:sz w:val="24"/>
                <w:lang w:eastAsia="zh-Hans"/>
              </w:rPr>
              <w:t>通过</w:t>
            </w:r>
            <w:r>
              <w:rPr>
                <w:rFonts w:hint="eastAsia" w:ascii="仿宋" w:hAnsi="仿宋" w:eastAsia="仿宋" w:cs="仿宋"/>
                <w:b/>
                <w:bCs/>
                <w:sz w:val="24"/>
              </w:rPr>
              <w:t>案例导入、小组讨论、微辩论、记忆口诀等解决教学重点解决重点内容</w:t>
            </w:r>
            <w:r>
              <w:rPr>
                <w:rFonts w:hint="eastAsia" w:ascii="仿宋" w:hAnsi="仿宋" w:eastAsia="仿宋" w:cs="仿宋"/>
                <w:sz w:val="24"/>
              </w:rPr>
              <w:t>。</w:t>
            </w:r>
          </w:p>
          <w:p w14:paraId="03EA2CAD">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top"/>
          </w:tcPr>
          <w:p w14:paraId="49C09607">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1.护理人员与社会的关系伦理规范应用</w:t>
            </w:r>
          </w:p>
          <w:p w14:paraId="7C4878AF">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2.护患伦理规范应用</w:t>
            </w:r>
          </w:p>
          <w:p w14:paraId="034AD23B">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3.护医伦理要求的应用</w:t>
            </w:r>
          </w:p>
          <w:p w14:paraId="686FD043">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p>
          <w:p w14:paraId="24958857">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sz w:val="24"/>
              </w:rPr>
              <w:t>对策：</w:t>
            </w:r>
          </w:p>
          <w:p w14:paraId="179C2E9A">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问卷调研分析学情，明确教学难点。职教云上传相关微课，布置课前预习任务。</w:t>
            </w:r>
          </w:p>
          <w:p w14:paraId="5DB477E0">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6F67B379">
            <w:pPr>
              <w:keepNext w:val="0"/>
              <w:keepLines w:val="0"/>
              <w:suppressLineNumbers w:val="0"/>
              <w:spacing w:before="0" w:beforeAutospacing="0" w:after="0" w:afterAutospacing="0" w:line="360" w:lineRule="auto"/>
              <w:ind w:left="0" w:right="0"/>
              <w:jc w:val="both"/>
              <w:rPr>
                <w:rFonts w:hint="default"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5829C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8A4DFC8">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（七）教学方法与资源</w:t>
            </w:r>
          </w:p>
        </w:tc>
      </w:tr>
      <w:tr w14:paraId="15D7F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55B154A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0F0A367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其他</w:t>
            </w:r>
          </w:p>
        </w:tc>
      </w:tr>
      <w:tr w14:paraId="22742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19197296">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971550" cy="1320800"/>
                  <wp:effectExtent l="0" t="0" r="0" b="12700"/>
                  <wp:docPr id="38" name="图片 27"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descr="847b241cda15149b93766219ff89d70"/>
                          <pic:cNvPicPr>
                            <a:picLocks noChangeAspect="1"/>
                          </pic:cNvPicPr>
                        </pic:nvPicPr>
                        <pic:blipFill>
                          <a:blip r:embed="rId7"/>
                          <a:stretch>
                            <a:fillRect/>
                          </a:stretch>
                        </pic:blipFill>
                        <pic:spPr>
                          <a:xfrm>
                            <a:off x="0" y="0"/>
                            <a:ext cx="971550" cy="13208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952500" cy="1289050"/>
                  <wp:effectExtent l="0" t="0" r="0" b="6350"/>
                  <wp:docPr id="32" name="图片 28"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descr="1629788608(1)"/>
                          <pic:cNvPicPr>
                            <a:picLocks noChangeAspect="1"/>
                          </pic:cNvPicPr>
                        </pic:nvPicPr>
                        <pic:blipFill>
                          <a:blip r:embed="rId8"/>
                          <a:stretch>
                            <a:fillRect/>
                          </a:stretch>
                        </pic:blipFill>
                        <pic:spPr>
                          <a:xfrm>
                            <a:off x="0" y="0"/>
                            <a:ext cx="952500" cy="1289050"/>
                          </a:xfrm>
                          <a:prstGeom prst="rect">
                            <a:avLst/>
                          </a:prstGeom>
                          <a:noFill/>
                          <a:ln>
                            <a:noFill/>
                          </a:ln>
                        </pic:spPr>
                      </pic:pic>
                    </a:graphicData>
                  </a:graphic>
                </wp:inline>
              </w:drawing>
            </w:r>
          </w:p>
          <w:p w14:paraId="004D9A4B">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869950" cy="1301750"/>
                  <wp:effectExtent l="0" t="0" r="6350" b="12700"/>
                  <wp:docPr id="36" name="图片 29"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9" descr="1629788927(1)"/>
                          <pic:cNvPicPr>
                            <a:picLocks noChangeAspect="1"/>
                          </pic:cNvPicPr>
                        </pic:nvPicPr>
                        <pic:blipFill>
                          <a:blip r:embed="rId9"/>
                          <a:stretch>
                            <a:fillRect/>
                          </a:stretch>
                        </pic:blipFill>
                        <pic:spPr>
                          <a:xfrm>
                            <a:off x="0" y="0"/>
                            <a:ext cx="869950" cy="130175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876300" cy="1238250"/>
                  <wp:effectExtent l="0" t="0" r="0" b="0"/>
                  <wp:docPr id="35" name="图片 30"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0" descr="1629798548(1)"/>
                          <pic:cNvPicPr>
                            <a:picLocks noChangeAspect="1"/>
                          </pic:cNvPicPr>
                        </pic:nvPicPr>
                        <pic:blipFill>
                          <a:blip r:embed="rId10"/>
                          <a:stretch>
                            <a:fillRect/>
                          </a:stretch>
                        </pic:blipFill>
                        <pic:spPr>
                          <a:xfrm>
                            <a:off x="0" y="0"/>
                            <a:ext cx="876300" cy="1238250"/>
                          </a:xfrm>
                          <a:prstGeom prst="rect">
                            <a:avLst/>
                          </a:prstGeom>
                          <a:noFill/>
                          <a:ln>
                            <a:noFill/>
                          </a:ln>
                        </pic:spPr>
                      </pic:pic>
                    </a:graphicData>
                  </a:graphic>
                </wp:inline>
              </w:drawing>
            </w:r>
          </w:p>
        </w:tc>
        <w:tc>
          <w:tcPr>
            <w:tcW w:w="5246" w:type="dxa"/>
            <w:gridSpan w:val="4"/>
          </w:tcPr>
          <w:p w14:paraId="7081C934">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1117600" cy="863600"/>
                  <wp:effectExtent l="0" t="0" r="6350" b="12700"/>
                  <wp:docPr id="37" name="图片 31"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762000" cy="762000"/>
                  <wp:effectExtent l="0" t="0" r="0" b="0"/>
                  <wp:docPr id="33" name="图片 32"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3E10B81E">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8"/>
                <w:szCs w:val="28"/>
              </w:rPr>
            </w:pPr>
            <w:r>
              <w:rPr>
                <w:rFonts w:hint="eastAsia" w:ascii="仿宋" w:hAnsi="仿宋" w:eastAsia="仿宋" w:cs="仿宋"/>
                <w:b/>
                <w:bCs/>
                <w:sz w:val="28"/>
                <w:szCs w:val="28"/>
              </w:rPr>
              <w:t xml:space="preserve">    </w:t>
            </w:r>
            <w:r>
              <w:rPr>
                <w:rFonts w:hint="default" w:ascii="仿宋" w:hAnsi="仿宋" w:eastAsia="仿宋" w:cs="仿宋"/>
                <w:b/>
                <w:bCs/>
                <w:sz w:val="28"/>
                <w:szCs w:val="28"/>
              </w:rPr>
              <w:drawing>
                <wp:inline distT="0" distB="0" distL="114300" distR="114300">
                  <wp:extent cx="2310130" cy="953770"/>
                  <wp:effectExtent l="0" t="0" r="0" b="0"/>
                  <wp:docPr id="34" name="图片 33"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descr="1620189844(1)"/>
                          <pic:cNvPicPr>
                            <a:picLocks noChangeAspect="1"/>
                          </pic:cNvPicPr>
                        </pic:nvPicPr>
                        <pic:blipFill>
                          <a:blip r:embed="rId13"/>
                          <a:srcRect r="1439" b="4256"/>
                          <a:stretch>
                            <a:fillRect/>
                          </a:stretch>
                        </pic:blipFill>
                        <pic:spPr>
                          <a:xfrm>
                            <a:off x="0" y="0"/>
                            <a:ext cx="2310130" cy="953770"/>
                          </a:xfrm>
                          <a:prstGeom prst="rect">
                            <a:avLst/>
                          </a:prstGeom>
                          <a:noFill/>
                          <a:ln>
                            <a:noFill/>
                          </a:ln>
                        </pic:spPr>
                      </pic:pic>
                    </a:graphicData>
                  </a:graphic>
                </wp:inline>
              </w:drawing>
            </w:r>
          </w:p>
        </w:tc>
      </w:tr>
    </w:tbl>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bookmarkStart w:id="0" w:name="_Hlk67738882"/>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3078"/>
        <w:gridCol w:w="2462"/>
        <w:gridCol w:w="3231"/>
      </w:tblGrid>
      <w:tr w14:paraId="1906F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1BE351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（一）课前导学习</w:t>
            </w:r>
          </w:p>
        </w:tc>
      </w:tr>
      <w:tr w14:paraId="18877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center"/>
          </w:tcPr>
          <w:p w14:paraId="3ADB7088">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教学内容</w:t>
            </w:r>
          </w:p>
        </w:tc>
        <w:tc>
          <w:tcPr>
            <w:tcW w:w="3078" w:type="dxa"/>
            <w:shd w:val="clear" w:color="auto" w:fill="DEEBF6"/>
            <w:vAlign w:val="center"/>
          </w:tcPr>
          <w:p w14:paraId="0F78EC1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BF6"/>
            <w:vAlign w:val="center"/>
          </w:tcPr>
          <w:p w14:paraId="2D05402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学生活动</w:t>
            </w:r>
          </w:p>
        </w:tc>
        <w:tc>
          <w:tcPr>
            <w:tcW w:w="3231" w:type="dxa"/>
            <w:shd w:val="clear" w:color="auto" w:fill="DEEBF6"/>
            <w:vAlign w:val="center"/>
          </w:tcPr>
          <w:p w14:paraId="3D7A5123">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设计意图</w:t>
            </w:r>
          </w:p>
        </w:tc>
      </w:tr>
      <w:tr w14:paraId="73EF4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20FBF73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护理伦理学</w:t>
            </w:r>
          </w:p>
          <w:p w14:paraId="7D46E24C">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rPr>
            </w:pPr>
            <w:r>
              <w:rPr>
                <w:rFonts w:hint="eastAsia" w:ascii="仿宋" w:hAnsi="仿宋" w:eastAsia="仿宋" w:cs="仿宋"/>
                <w:sz w:val="24"/>
              </w:rPr>
              <w:t>--护理人际关系理论</w:t>
            </w:r>
          </w:p>
          <w:p w14:paraId="23647319">
            <w:pPr>
              <w:keepNext w:val="0"/>
              <w:keepLines w:val="0"/>
              <w:suppressLineNumbers w:val="0"/>
              <w:spacing w:before="0" w:beforeAutospacing="0" w:after="0" w:afterAutospacing="0" w:line="360" w:lineRule="auto"/>
              <w:ind w:left="0" w:right="0" w:firstLine="240" w:firstLineChars="100"/>
              <w:rPr>
                <w:rFonts w:hint="default" w:ascii="仿宋" w:hAnsi="仿宋" w:eastAsia="仿宋" w:cs="仿宋"/>
                <w:sz w:val="24"/>
              </w:rPr>
            </w:pPr>
          </w:p>
        </w:tc>
        <w:tc>
          <w:tcPr>
            <w:tcW w:w="3078" w:type="dxa"/>
            <w:vAlign w:val="top"/>
          </w:tcPr>
          <w:p w14:paraId="5FA058BA">
            <w:pPr>
              <w:keepNext w:val="0"/>
              <w:keepLines w:val="0"/>
              <w:numPr>
                <w:ilvl w:val="0"/>
                <w:numId w:val="1"/>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课前发布学习任务与测验题</w:t>
            </w:r>
          </w:p>
          <w:p w14:paraId="2578BED3">
            <w:pPr>
              <w:keepNext w:val="0"/>
              <w:keepLines w:val="0"/>
              <w:numPr>
                <w:ilvl w:val="0"/>
                <w:numId w:val="1"/>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教师教学平台区答疑</w:t>
            </w:r>
          </w:p>
          <w:p w14:paraId="243D63A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622567BE">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3.学情分析</w:t>
            </w:r>
          </w:p>
        </w:tc>
        <w:tc>
          <w:tcPr>
            <w:tcW w:w="2462" w:type="dxa"/>
            <w:vAlign w:val="top"/>
          </w:tcPr>
          <w:p w14:paraId="5009CEF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rPr>
              <w:t xml:space="preserve">教学平台完成学习任务和测验题     </w:t>
            </w:r>
          </w:p>
          <w:p w14:paraId="2354FB79">
            <w:pPr>
              <w:keepNext w:val="0"/>
              <w:keepLines w:val="0"/>
              <w:numPr>
                <w:ilvl w:val="0"/>
                <w:numId w:val="2"/>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学生教学平台区提出疑难点</w:t>
            </w:r>
          </w:p>
          <w:p w14:paraId="0E401778">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 xml:space="preserve">3.完成调查问卷        </w:t>
            </w:r>
          </w:p>
        </w:tc>
        <w:tc>
          <w:tcPr>
            <w:tcW w:w="3231" w:type="dxa"/>
            <w:vAlign w:val="top"/>
          </w:tcPr>
          <w:p w14:paraId="4BD1072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1.培养学生自主学习能力</w:t>
            </w:r>
          </w:p>
          <w:p w14:paraId="2D0C0B42">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42189D45">
            <w:pPr>
              <w:keepNext w:val="0"/>
              <w:keepLines w:val="0"/>
              <w:numPr>
                <w:ilvl w:val="0"/>
                <w:numId w:val="3"/>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调整教学策略</w:t>
            </w:r>
          </w:p>
          <w:p w14:paraId="4556460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19C9F601">
            <w:pPr>
              <w:keepNext w:val="0"/>
              <w:keepLines w:val="0"/>
              <w:numPr>
                <w:ilvl w:val="0"/>
                <w:numId w:val="3"/>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指导教师进行针对性教学设计</w:t>
            </w:r>
          </w:p>
        </w:tc>
      </w:tr>
      <w:tr w14:paraId="0FCE3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E9C5DFB">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（二）课中授新知</w:t>
            </w:r>
          </w:p>
        </w:tc>
      </w:tr>
      <w:tr w14:paraId="7EBCA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center"/>
          </w:tcPr>
          <w:p w14:paraId="7522075E">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教学内容</w:t>
            </w:r>
          </w:p>
        </w:tc>
        <w:tc>
          <w:tcPr>
            <w:tcW w:w="3078" w:type="dxa"/>
            <w:shd w:val="clear" w:color="auto" w:fill="DEEAF6"/>
            <w:vAlign w:val="center"/>
          </w:tcPr>
          <w:p w14:paraId="35819CB5">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教师活动</w:t>
            </w:r>
          </w:p>
        </w:tc>
        <w:tc>
          <w:tcPr>
            <w:tcW w:w="2462" w:type="dxa"/>
            <w:shd w:val="clear" w:color="auto" w:fill="DEEAF6"/>
            <w:vAlign w:val="center"/>
          </w:tcPr>
          <w:p w14:paraId="48659376">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vAlign w:val="center"/>
          </w:tcPr>
          <w:p w14:paraId="7BD6E92F">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设计意图</w:t>
            </w:r>
          </w:p>
        </w:tc>
      </w:tr>
      <w:tr w14:paraId="74CB7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27AC669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知识回顾</w:t>
            </w:r>
          </w:p>
          <w:p w14:paraId="1BE7F071">
            <w:pPr>
              <w:keepNext w:val="0"/>
              <w:keepLines w:val="0"/>
              <w:suppressLineNumbers w:val="0"/>
              <w:spacing w:before="0" w:beforeAutospacing="0" w:after="0" w:afterAutospacing="0" w:line="360" w:lineRule="auto"/>
              <w:ind w:left="0" w:right="0"/>
              <w:rPr>
                <w:rFonts w:hint="default"/>
              </w:rPr>
            </w:pPr>
            <w:r>
              <w:rPr>
                <w:rFonts w:hint="eastAsia" w:ascii="仿宋" w:hAnsi="仿宋" w:eastAsia="仿宋" w:cs="仿宋"/>
                <w:sz w:val="24"/>
              </w:rPr>
              <w:t xml:space="preserve"> </w:t>
            </w:r>
            <w:r>
              <w:rPr>
                <w:rFonts w:hint="default" w:ascii="仿宋" w:hAnsi="仿宋" w:eastAsia="仿宋" w:cs="仿宋"/>
                <w:sz w:val="24"/>
              </w:rPr>
              <w:drawing>
                <wp:inline distT="0" distB="0" distL="114300" distR="114300">
                  <wp:extent cx="1028700" cy="488950"/>
                  <wp:effectExtent l="0" t="0" r="0" b="6350"/>
                  <wp:docPr id="42" name="图片 34" descr="1629797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4" descr="1629797190(1)"/>
                          <pic:cNvPicPr>
                            <a:picLocks noChangeAspect="1"/>
                          </pic:cNvPicPr>
                        </pic:nvPicPr>
                        <pic:blipFill>
                          <a:blip r:embed="rId14"/>
                          <a:stretch>
                            <a:fillRect/>
                          </a:stretch>
                        </pic:blipFill>
                        <pic:spPr>
                          <a:xfrm>
                            <a:off x="0" y="0"/>
                            <a:ext cx="1028700" cy="488950"/>
                          </a:xfrm>
                          <a:prstGeom prst="rect">
                            <a:avLst/>
                          </a:prstGeom>
                          <a:noFill/>
                          <a:ln>
                            <a:noFill/>
                          </a:ln>
                        </pic:spPr>
                      </pic:pic>
                    </a:graphicData>
                  </a:graphic>
                </wp:inline>
              </w:drawing>
            </w:r>
            <w:r>
              <w:rPr>
                <w:rFonts w:hint="eastAsia" w:ascii="仿宋" w:hAnsi="仿宋" w:eastAsia="仿宋" w:cs="仿宋"/>
                <w:sz w:val="24"/>
              </w:rPr>
              <w:t xml:space="preserve">                                                   </w:t>
            </w:r>
            <w:r>
              <w:rPr>
                <w:rFonts w:hint="default" w:ascii="仿宋" w:hAnsi="仿宋" w:eastAsia="仿宋" w:cs="仿宋"/>
                <w:sz w:val="24"/>
              </w:rPr>
              <w:t xml:space="preserve">                  </w:t>
            </w:r>
          </w:p>
        </w:tc>
        <w:tc>
          <w:tcPr>
            <w:tcW w:w="3078" w:type="dxa"/>
            <w:shd w:val="clear" w:color="auto" w:fill="auto"/>
            <w:vAlign w:val="top"/>
          </w:tcPr>
          <w:p w14:paraId="2BFFED2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1.思维导图呈现前二章知识框架</w:t>
            </w:r>
          </w:p>
          <w:p w14:paraId="617C5B0E">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2.回顾前二章重要内容</w:t>
            </w:r>
          </w:p>
        </w:tc>
        <w:tc>
          <w:tcPr>
            <w:tcW w:w="2462" w:type="dxa"/>
            <w:shd w:val="clear" w:color="auto" w:fill="FFFFFF"/>
            <w:vAlign w:val="top"/>
          </w:tcPr>
          <w:p w14:paraId="674E27E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结合思维导图回顾前期学习相关内容</w:t>
            </w:r>
          </w:p>
        </w:tc>
        <w:tc>
          <w:tcPr>
            <w:tcW w:w="3231" w:type="dxa"/>
            <w:vAlign w:val="top"/>
          </w:tcPr>
          <w:p w14:paraId="3C5DC7EC">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76174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DADBAF7">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案例导入</w:t>
            </w:r>
          </w:p>
          <w:p w14:paraId="4CEA5E0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562663F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3078" w:type="dxa"/>
            <w:vAlign w:val="top"/>
          </w:tcPr>
          <w:p w14:paraId="19D62618">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张护士，工作能力强，在科室是骨干人员，对患者也是照顾得无微不至，深得患者和科室同事的好评。但是，张护士的丈夫总是嫌弃张护士忙，不顾家，半年后张护士的积极性没有了，脾气也变得很暴躁，经常遭到患者的投诉。</w:t>
            </w:r>
          </w:p>
        </w:tc>
        <w:tc>
          <w:tcPr>
            <w:tcW w:w="2462" w:type="dxa"/>
            <w:vAlign w:val="top"/>
          </w:tcPr>
          <w:p w14:paraId="47802A0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思考案例</w:t>
            </w:r>
            <w:r>
              <w:rPr>
                <w:rFonts w:hint="eastAsia" w:ascii="仿宋" w:hAnsi="仿宋" w:eastAsia="仿宋" w:cs="仿宋"/>
                <w:sz w:val="24"/>
              </w:rPr>
              <w:t>，明确任务，做好准备。</w:t>
            </w:r>
          </w:p>
        </w:tc>
        <w:tc>
          <w:tcPr>
            <w:tcW w:w="3231" w:type="dxa"/>
            <w:vAlign w:val="top"/>
          </w:tcPr>
          <w:p w14:paraId="1AD8468D">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rPr>
            </w:pPr>
            <w:r>
              <w:rPr>
                <w:rFonts w:hint="eastAsia" w:ascii="仿宋" w:hAnsi="仿宋" w:eastAsia="仿宋" w:cs="仿宋"/>
                <w:sz w:val="24"/>
                <w:lang w:eastAsia="zh-Hans"/>
              </w:rPr>
              <w:t>以典型临床工作案例导入教学，对接工作岗位，激发学生学习兴趣</w:t>
            </w:r>
            <w:r>
              <w:rPr>
                <w:rFonts w:hint="eastAsia" w:ascii="仿宋" w:hAnsi="仿宋" w:eastAsia="仿宋" w:cs="仿宋"/>
                <w:sz w:val="24"/>
              </w:rPr>
              <w:t>。</w:t>
            </w:r>
          </w:p>
        </w:tc>
      </w:tr>
      <w:tr w14:paraId="4395F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740E95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人际关系的特点</w:t>
            </w:r>
            <w:r>
              <w:rPr>
                <w:rFonts w:hint="eastAsia" w:ascii="仿宋" w:hAnsi="仿宋" w:eastAsia="仿宋" w:cs="仿宋"/>
                <w:sz w:val="24"/>
              </w:rPr>
              <w:drawing>
                <wp:inline distT="0" distB="0" distL="114300" distR="114300">
                  <wp:extent cx="996950" cy="590550"/>
                  <wp:effectExtent l="0" t="0" r="12700" b="0"/>
                  <wp:docPr id="39" name="图片 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descr="1"/>
                          <pic:cNvPicPr>
                            <a:picLocks noChangeAspect="1"/>
                          </pic:cNvPicPr>
                        </pic:nvPicPr>
                        <pic:blipFill>
                          <a:blip r:embed="rId15"/>
                          <a:srcRect l="3087" t="16884" b="55708"/>
                          <a:stretch>
                            <a:fillRect/>
                          </a:stretch>
                        </pic:blipFill>
                        <pic:spPr>
                          <a:xfrm>
                            <a:off x="0" y="0"/>
                            <a:ext cx="996950" cy="590550"/>
                          </a:xfrm>
                          <a:prstGeom prst="rect">
                            <a:avLst/>
                          </a:prstGeom>
                          <a:noFill/>
                          <a:ln>
                            <a:noFill/>
                          </a:ln>
                        </pic:spPr>
                      </pic:pic>
                    </a:graphicData>
                  </a:graphic>
                </wp:inline>
              </w:drawing>
            </w:r>
          </w:p>
        </w:tc>
        <w:tc>
          <w:tcPr>
            <w:tcW w:w="3078" w:type="dxa"/>
            <w:vAlign w:val="top"/>
          </w:tcPr>
          <w:p w14:paraId="1045527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组织小组讨论，强化人际关系的含义和特点。</w:t>
            </w:r>
          </w:p>
        </w:tc>
        <w:tc>
          <w:tcPr>
            <w:tcW w:w="2462" w:type="dxa"/>
            <w:vAlign w:val="top"/>
          </w:tcPr>
          <w:p w14:paraId="4E78F27F">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小组讨论，强化人际关系的含义和特点。</w:t>
            </w:r>
          </w:p>
        </w:tc>
        <w:tc>
          <w:tcPr>
            <w:tcW w:w="3231" w:type="dxa"/>
            <w:vAlign w:val="top"/>
          </w:tcPr>
          <w:p w14:paraId="10FBE17C">
            <w:pPr>
              <w:keepNext w:val="0"/>
              <w:keepLines w:val="0"/>
              <w:suppressLineNumbers w:val="0"/>
              <w:spacing w:before="0" w:beforeAutospacing="0" w:after="0" w:afterAutospacing="0" w:line="360" w:lineRule="auto"/>
              <w:ind w:left="0" w:right="0"/>
              <w:jc w:val="left"/>
              <w:rPr>
                <w:rFonts w:hint="default" w:ascii="仿宋" w:hAnsi="仿宋" w:eastAsia="仿宋" w:cs="仿宋"/>
                <w:sz w:val="24"/>
                <w:lang w:eastAsia="zh-Hans"/>
              </w:rPr>
            </w:pPr>
            <w:r>
              <w:rPr>
                <w:rFonts w:hint="eastAsia" w:ascii="仿宋" w:hAnsi="仿宋" w:eastAsia="仿宋" w:cs="仿宋"/>
                <w:sz w:val="24"/>
              </w:rPr>
              <w:t>小组讨论，</w:t>
            </w:r>
            <w:r>
              <w:rPr>
                <w:rFonts w:hint="eastAsia" w:ascii="仿宋" w:hAnsi="仿宋" w:eastAsia="仿宋" w:cs="仿宋"/>
                <w:sz w:val="24"/>
                <w:lang w:eastAsia="zh-Hans"/>
              </w:rPr>
              <w:t>强化</w:t>
            </w:r>
            <w:r>
              <w:rPr>
                <w:rFonts w:hint="eastAsia" w:ascii="仿宋" w:hAnsi="仿宋" w:eastAsia="仿宋" w:cs="仿宋"/>
                <w:sz w:val="24"/>
              </w:rPr>
              <w:t>新知</w:t>
            </w:r>
            <w:r>
              <w:rPr>
                <w:rFonts w:hint="eastAsia" w:ascii="仿宋" w:hAnsi="仿宋" w:eastAsia="仿宋" w:cs="仿宋"/>
                <w:sz w:val="24"/>
                <w:lang w:eastAsia="zh-Hans"/>
              </w:rPr>
              <w:t>，加深记忆。</w:t>
            </w:r>
          </w:p>
          <w:p w14:paraId="2A060261">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r>
      <w:tr w14:paraId="30B95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6A5F0930">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护患伦理关系</w:t>
            </w:r>
          </w:p>
          <w:p w14:paraId="55FE8382">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6C0F71AD">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rPr>
              <w:drawing>
                <wp:inline distT="0" distB="0" distL="114300" distR="114300">
                  <wp:extent cx="1593850" cy="952500"/>
                  <wp:effectExtent l="0" t="0" r="6350" b="0"/>
                  <wp:docPr id="43" name="图片 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6" descr="1"/>
                          <pic:cNvPicPr>
                            <a:picLocks noChangeAspect="1"/>
                          </pic:cNvPicPr>
                        </pic:nvPicPr>
                        <pic:blipFill>
                          <a:blip r:embed="rId15"/>
                          <a:srcRect l="3087" t="16884" b="55708"/>
                          <a:stretch>
                            <a:fillRect/>
                          </a:stretch>
                        </pic:blipFill>
                        <pic:spPr>
                          <a:xfrm>
                            <a:off x="0" y="0"/>
                            <a:ext cx="1593850" cy="952500"/>
                          </a:xfrm>
                          <a:prstGeom prst="rect">
                            <a:avLst/>
                          </a:prstGeom>
                          <a:noFill/>
                          <a:ln>
                            <a:noFill/>
                          </a:ln>
                        </pic:spPr>
                      </pic:pic>
                    </a:graphicData>
                  </a:graphic>
                </wp:inline>
              </w:drawing>
            </w:r>
          </w:p>
        </w:tc>
        <w:tc>
          <w:tcPr>
            <w:tcW w:w="3078" w:type="dxa"/>
            <w:vAlign w:val="top"/>
          </w:tcPr>
          <w:p w14:paraId="2788DEB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环节一：</w:t>
            </w:r>
          </w:p>
          <w:p w14:paraId="48D465C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安排</w:t>
            </w:r>
            <w:r>
              <w:rPr>
                <w:rFonts w:hint="eastAsia" w:ascii="仿宋" w:hAnsi="仿宋" w:eastAsia="仿宋" w:cs="仿宋"/>
                <w:sz w:val="24"/>
                <w:lang w:eastAsia="zh-Hans"/>
              </w:rPr>
              <w:t>各小组汇报</w:t>
            </w:r>
            <w:r>
              <w:rPr>
                <w:rFonts w:hint="eastAsia" w:ascii="仿宋" w:hAnsi="仿宋" w:eastAsia="仿宋" w:cs="仿宋"/>
                <w:sz w:val="24"/>
              </w:rPr>
              <w:t>护患关系的性质、基本模式。</w:t>
            </w:r>
          </w:p>
          <w:p w14:paraId="17503FBC">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7CA9BF9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17293D0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规范示教：</w:t>
            </w:r>
            <w:r>
              <w:rPr>
                <w:rFonts w:hint="eastAsia" w:ascii="仿宋" w:hAnsi="仿宋" w:eastAsia="仿宋" w:cs="仿宋"/>
                <w:sz w:val="24"/>
              </w:rPr>
              <w:t>结合课堂导入的案例，</w:t>
            </w:r>
            <w:r>
              <w:rPr>
                <w:rFonts w:hint="eastAsia" w:ascii="仿宋" w:hAnsi="仿宋" w:eastAsia="仿宋" w:cs="仿宋"/>
                <w:sz w:val="24"/>
                <w:lang w:eastAsia="zh-Hans"/>
              </w:rPr>
              <w:t>教师示范</w:t>
            </w:r>
            <w:r>
              <w:rPr>
                <w:rFonts w:hint="eastAsia" w:ascii="仿宋" w:hAnsi="仿宋" w:eastAsia="仿宋" w:cs="仿宋"/>
                <w:sz w:val="24"/>
              </w:rPr>
              <w:t>护患冲突的调适。</w:t>
            </w:r>
          </w:p>
          <w:p w14:paraId="241748EE">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C5590F4">
            <w:pPr>
              <w:keepNext w:val="0"/>
              <w:keepLines w:val="0"/>
              <w:suppressLineNumbers w:val="0"/>
              <w:spacing w:before="0" w:beforeAutospacing="0" w:after="0" w:afterAutospacing="0" w:line="360" w:lineRule="auto"/>
              <w:ind w:left="0" w:right="0"/>
              <w:rPr>
                <w:rFonts w:hint="default" w:ascii="仿宋" w:hAnsi="仿宋" w:eastAsia="仿宋" w:cs="仿宋"/>
                <w:sz w:val="24"/>
                <w:lang w:eastAsia="zh-Hans"/>
              </w:rPr>
            </w:pPr>
            <w:r>
              <w:rPr>
                <w:rFonts w:hint="eastAsia" w:ascii="仿宋" w:hAnsi="仿宋" w:eastAsia="仿宋" w:cs="仿宋"/>
                <w:sz w:val="24"/>
              </w:rPr>
              <w:t>环节三：</w:t>
            </w:r>
          </w:p>
          <w:p w14:paraId="69A6A6D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组织</w:t>
            </w:r>
            <w:r>
              <w:rPr>
                <w:rFonts w:hint="eastAsia" w:ascii="仿宋" w:hAnsi="仿宋" w:eastAsia="仿宋" w:cs="仿宋"/>
                <w:sz w:val="24"/>
                <w:lang w:eastAsia="zh-Hans"/>
              </w:rPr>
              <w:t>各小组针对</w:t>
            </w:r>
            <w:r>
              <w:rPr>
                <w:rFonts w:hint="eastAsia" w:ascii="仿宋" w:hAnsi="仿宋" w:eastAsia="仿宋" w:cs="仿宋"/>
                <w:sz w:val="24"/>
              </w:rPr>
              <w:t>工作</w:t>
            </w:r>
            <w:r>
              <w:rPr>
                <w:rFonts w:hint="eastAsia" w:ascii="仿宋" w:hAnsi="仿宋" w:eastAsia="仿宋" w:cs="仿宋"/>
                <w:sz w:val="24"/>
                <w:lang w:eastAsia="zh-Hans"/>
              </w:rPr>
              <w:t>案例进行角色扮演、情景模拟</w:t>
            </w:r>
            <w:r>
              <w:rPr>
                <w:rFonts w:hint="eastAsia" w:ascii="仿宋" w:hAnsi="仿宋" w:eastAsia="仿宋" w:cs="仿宋"/>
                <w:sz w:val="24"/>
              </w:rPr>
              <w:t>护患冲突的调适</w:t>
            </w:r>
            <w:r>
              <w:rPr>
                <w:rFonts w:hint="eastAsia" w:ascii="仿宋" w:hAnsi="仿宋" w:eastAsia="仿宋" w:cs="仿宋"/>
                <w:sz w:val="24"/>
                <w:lang w:eastAsia="zh-Hans"/>
              </w:rPr>
              <w:t>，教师巡回指导</w:t>
            </w:r>
            <w:r>
              <w:rPr>
                <w:rFonts w:hint="eastAsia" w:ascii="仿宋" w:hAnsi="仿宋" w:eastAsia="仿宋" w:cs="仿宋"/>
                <w:sz w:val="24"/>
              </w:rPr>
              <w:t>。</w:t>
            </w:r>
          </w:p>
          <w:p w14:paraId="395BB43D">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462" w:type="dxa"/>
            <w:vAlign w:val="top"/>
          </w:tcPr>
          <w:p w14:paraId="0E1E6719">
            <w:pPr>
              <w:keepNext w:val="0"/>
              <w:keepLines w:val="0"/>
              <w:suppressLineNumbers w:val="0"/>
              <w:spacing w:before="0" w:beforeAutospacing="0" w:after="0" w:afterAutospacing="0" w:line="360" w:lineRule="auto"/>
              <w:ind w:left="0" w:right="0"/>
              <w:rPr>
                <w:rFonts w:hint="default" w:ascii="仿宋" w:hAnsi="仿宋" w:eastAsia="仿宋" w:cs="仿宋"/>
                <w:sz w:val="24"/>
                <w:lang w:eastAsia="zh-Hans"/>
              </w:rPr>
            </w:pPr>
            <w:r>
              <w:rPr>
                <w:rFonts w:hint="eastAsia" w:ascii="仿宋" w:hAnsi="仿宋" w:eastAsia="仿宋" w:cs="仿宋"/>
                <w:sz w:val="24"/>
              </w:rPr>
              <w:t>环节一：</w:t>
            </w:r>
          </w:p>
          <w:p w14:paraId="3F65E2E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各小组汇报</w:t>
            </w:r>
            <w:r>
              <w:rPr>
                <w:rFonts w:hint="eastAsia" w:ascii="仿宋" w:hAnsi="仿宋" w:eastAsia="仿宋" w:cs="仿宋"/>
                <w:sz w:val="24"/>
              </w:rPr>
              <w:t>护患关系的性质、基本模式。</w:t>
            </w:r>
          </w:p>
          <w:p w14:paraId="42BD9F7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7F9A736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认真观看、</w:t>
            </w:r>
            <w:r>
              <w:rPr>
                <w:rFonts w:hint="eastAsia" w:ascii="仿宋" w:hAnsi="仿宋" w:eastAsia="仿宋" w:cs="仿宋"/>
                <w:sz w:val="24"/>
              </w:rPr>
              <w:t>学习</w:t>
            </w:r>
            <w:r>
              <w:rPr>
                <w:rFonts w:hint="eastAsia" w:ascii="仿宋" w:hAnsi="仿宋" w:eastAsia="仿宋" w:cs="仿宋"/>
                <w:sz w:val="24"/>
                <w:lang w:eastAsia="zh-Hans"/>
              </w:rPr>
              <w:t>教师</w:t>
            </w:r>
            <w:r>
              <w:rPr>
                <w:rFonts w:hint="eastAsia" w:ascii="仿宋" w:hAnsi="仿宋" w:eastAsia="仿宋" w:cs="仿宋"/>
                <w:sz w:val="24"/>
              </w:rPr>
              <w:t>的规范示教。</w:t>
            </w:r>
          </w:p>
          <w:p w14:paraId="634985CA">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169E74B8">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57F0849E">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环节三：</w:t>
            </w:r>
          </w:p>
          <w:p w14:paraId="411C9011">
            <w:pPr>
              <w:keepNext w:val="0"/>
              <w:keepLines w:val="0"/>
              <w:suppressLineNumbers w:val="0"/>
              <w:spacing w:before="0" w:beforeAutospacing="0" w:after="0" w:afterAutospacing="0" w:line="360" w:lineRule="auto"/>
              <w:ind w:left="0" w:right="0"/>
              <w:rPr>
                <w:rFonts w:hint="default" w:ascii="仿宋" w:hAnsi="仿宋" w:eastAsia="仿宋" w:cs="仿宋"/>
                <w:sz w:val="24"/>
                <w:lang w:eastAsia="zh-Hans"/>
              </w:rPr>
            </w:pPr>
            <w:r>
              <w:rPr>
                <w:rFonts w:hint="eastAsia" w:ascii="仿宋" w:hAnsi="仿宋" w:eastAsia="仿宋" w:cs="仿宋"/>
                <w:sz w:val="24"/>
                <w:lang w:eastAsia="zh-Hans"/>
              </w:rPr>
              <w:t>1.小组分角色练习</w:t>
            </w:r>
            <w:r>
              <w:rPr>
                <w:rFonts w:hint="eastAsia" w:ascii="仿宋" w:hAnsi="仿宋" w:eastAsia="仿宋" w:cs="仿宋"/>
                <w:sz w:val="24"/>
              </w:rPr>
              <w:t>护患冲突的调适</w:t>
            </w:r>
            <w:r>
              <w:rPr>
                <w:rFonts w:hint="eastAsia" w:ascii="仿宋" w:hAnsi="仿宋" w:eastAsia="仿宋" w:cs="仿宋"/>
                <w:sz w:val="24"/>
                <w:lang w:eastAsia="zh-Hans"/>
              </w:rPr>
              <w:t>；</w:t>
            </w:r>
          </w:p>
          <w:p w14:paraId="7FCFC0E0">
            <w:pPr>
              <w:keepNext w:val="0"/>
              <w:keepLines w:val="0"/>
              <w:suppressLineNumbers w:val="0"/>
              <w:spacing w:before="0" w:beforeAutospacing="0" w:after="0" w:afterAutospacing="0" w:line="360" w:lineRule="auto"/>
              <w:ind w:left="0" w:right="0"/>
              <w:rPr>
                <w:rFonts w:hint="default" w:ascii="仿宋" w:hAnsi="仿宋" w:eastAsia="仿宋" w:cs="仿宋"/>
                <w:sz w:val="24"/>
                <w:lang w:eastAsia="zh-Hans"/>
              </w:rPr>
            </w:pPr>
            <w:r>
              <w:rPr>
                <w:rFonts w:hint="eastAsia" w:ascii="仿宋" w:hAnsi="仿宋" w:eastAsia="仿宋" w:cs="仿宋"/>
                <w:sz w:val="24"/>
                <w:lang w:eastAsia="zh-Hans"/>
              </w:rPr>
              <w:t>2.师生互动、生生互动提出问题。</w:t>
            </w:r>
          </w:p>
          <w:p w14:paraId="6027565F">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3231" w:type="dxa"/>
            <w:vAlign w:val="top"/>
          </w:tcPr>
          <w:p w14:paraId="6029643C">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环节一：</w:t>
            </w:r>
          </w:p>
          <w:p w14:paraId="2EF736F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通过小组汇报，提高学生梳理、归纳能力。</w:t>
            </w:r>
          </w:p>
          <w:p w14:paraId="5D03EA5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7A429C5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6874BC6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规范示教，模拟真实情景，直观教学演示，</w:t>
            </w:r>
            <w:r>
              <w:rPr>
                <w:rFonts w:hint="eastAsia" w:ascii="仿宋" w:hAnsi="仿宋" w:eastAsia="仿宋" w:cs="仿宋"/>
                <w:sz w:val="24"/>
                <w:lang w:eastAsia="zh-Hans"/>
              </w:rPr>
              <w:t>突破教学</w:t>
            </w:r>
            <w:r>
              <w:rPr>
                <w:rFonts w:hint="eastAsia" w:ascii="仿宋" w:hAnsi="仿宋" w:eastAsia="仿宋" w:cs="仿宋"/>
                <w:sz w:val="24"/>
              </w:rPr>
              <w:t>难点。</w:t>
            </w:r>
          </w:p>
          <w:p w14:paraId="616C8C90">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1C5965A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环节三：</w:t>
            </w:r>
          </w:p>
          <w:p w14:paraId="2C9D7C6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通过角色扮演、情景模拟</w:t>
            </w:r>
            <w:r>
              <w:rPr>
                <w:rFonts w:hint="eastAsia" w:ascii="仿宋" w:hAnsi="仿宋" w:eastAsia="仿宋" w:cs="仿宋"/>
                <w:sz w:val="24"/>
              </w:rPr>
              <w:t>强化训练</w:t>
            </w:r>
            <w:r>
              <w:rPr>
                <w:rFonts w:hint="eastAsia" w:ascii="仿宋" w:hAnsi="仿宋" w:eastAsia="仿宋" w:cs="仿宋"/>
                <w:sz w:val="24"/>
                <w:lang w:eastAsia="zh-Hans"/>
              </w:rPr>
              <w:t>，掌握</w:t>
            </w:r>
            <w:r>
              <w:rPr>
                <w:rFonts w:hint="eastAsia" w:ascii="仿宋" w:hAnsi="仿宋" w:eastAsia="仿宋" w:cs="仿宋"/>
                <w:sz w:val="24"/>
              </w:rPr>
              <w:t>护患冲突的调适，培养团队协作精神，</w:t>
            </w:r>
            <w:r>
              <w:rPr>
                <w:rFonts w:hint="eastAsia" w:ascii="仿宋" w:hAnsi="仿宋" w:eastAsia="仿宋" w:cs="仿宋"/>
                <w:b/>
                <w:bCs/>
                <w:color w:val="FF0000"/>
                <w:sz w:val="24"/>
              </w:rPr>
              <w:t>强调“护士必须记住自己是被患者所依赖信任的”。</w:t>
            </w:r>
          </w:p>
        </w:tc>
      </w:tr>
      <w:tr w14:paraId="3EDBA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524128C">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护医伦理关系</w:t>
            </w:r>
          </w:p>
          <w:p w14:paraId="0DA6B0D8">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526620C7">
            <w:pPr>
              <w:keepNext w:val="0"/>
              <w:keepLines w:val="0"/>
              <w:suppressLineNumbers w:val="0"/>
              <w:spacing w:before="0" w:beforeAutospacing="0" w:after="0" w:afterAutospacing="0" w:line="360" w:lineRule="auto"/>
              <w:ind w:left="0" w:right="0"/>
              <w:jc w:val="left"/>
              <w:rPr>
                <w:rFonts w:hint="eastAsia" w:ascii="仿宋" w:hAnsi="仿宋" w:eastAsia="仿宋" w:cs="仿宋"/>
                <w:sz w:val="24"/>
              </w:rPr>
            </w:pPr>
            <w:r>
              <w:rPr>
                <w:rFonts w:hint="eastAsia" w:ascii="仿宋" w:hAnsi="仿宋" w:eastAsia="仿宋" w:cs="仿宋"/>
                <w:sz w:val="24"/>
              </w:rPr>
              <w:drawing>
                <wp:inline distT="0" distB="0" distL="114300" distR="114300">
                  <wp:extent cx="996950" cy="590550"/>
                  <wp:effectExtent l="0" t="0" r="12700" b="0"/>
                  <wp:docPr id="40" name="图片 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7" descr="1"/>
                          <pic:cNvPicPr>
                            <a:picLocks noChangeAspect="1"/>
                          </pic:cNvPicPr>
                        </pic:nvPicPr>
                        <pic:blipFill>
                          <a:blip r:embed="rId15"/>
                          <a:srcRect l="3087" t="16884" b="55708"/>
                          <a:stretch>
                            <a:fillRect/>
                          </a:stretch>
                        </pic:blipFill>
                        <pic:spPr>
                          <a:xfrm>
                            <a:off x="0" y="0"/>
                            <a:ext cx="996950" cy="590550"/>
                          </a:xfrm>
                          <a:prstGeom prst="rect">
                            <a:avLst/>
                          </a:prstGeom>
                          <a:noFill/>
                          <a:ln>
                            <a:noFill/>
                          </a:ln>
                        </pic:spPr>
                      </pic:pic>
                    </a:graphicData>
                  </a:graphic>
                </wp:inline>
              </w:drawing>
            </w:r>
          </w:p>
        </w:tc>
        <w:tc>
          <w:tcPr>
            <w:tcW w:w="3078" w:type="dxa"/>
            <w:vAlign w:val="top"/>
          </w:tcPr>
          <w:p w14:paraId="330449F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环节一：</w:t>
            </w:r>
          </w:p>
          <w:p w14:paraId="469629C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讲解护理人员与医生关系的伦理规范</w:t>
            </w:r>
          </w:p>
          <w:p w14:paraId="09CD6EBE">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91E326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067FBEC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提供案例，让学生分析护士与医技科室人员、与行政、后勤人员伦理规范有哪些。</w:t>
            </w:r>
          </w:p>
          <w:p w14:paraId="6DC5D431">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596A531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环节三：</w:t>
            </w:r>
          </w:p>
          <w:p w14:paraId="5F02536C">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结合学生分析结果及案例归纳讲解社区护士与医技科室人员、与行政、后勤人员伦理规范。</w:t>
            </w:r>
          </w:p>
          <w:p w14:paraId="77474DAB">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462" w:type="dxa"/>
            <w:vAlign w:val="top"/>
          </w:tcPr>
          <w:p w14:paraId="057B877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环节一：</w:t>
            </w:r>
          </w:p>
          <w:p w14:paraId="6F09B5AD">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聆听、思考</w:t>
            </w:r>
          </w:p>
          <w:p w14:paraId="628BA3EF">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221CEBD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4A90F6D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365A7E7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案例分析、小组讨论</w:t>
            </w:r>
          </w:p>
          <w:p w14:paraId="48B30F7F">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18665AAC">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29B142AA">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105746D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7F4603E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环节三：</w:t>
            </w:r>
          </w:p>
          <w:p w14:paraId="3C1034D8">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思考、启发回答、知识内化</w:t>
            </w:r>
          </w:p>
        </w:tc>
        <w:tc>
          <w:tcPr>
            <w:tcW w:w="3231" w:type="dxa"/>
            <w:vAlign w:val="top"/>
          </w:tcPr>
          <w:p w14:paraId="54C8156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环节一：</w:t>
            </w:r>
          </w:p>
          <w:p w14:paraId="1AEA604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“含义”-“特点”-“伦理规范”</w:t>
            </w:r>
            <w:r>
              <w:rPr>
                <w:rFonts w:hint="eastAsia" w:ascii="仿宋" w:hAnsi="仿宋" w:eastAsia="仿宋" w:cs="仿宋"/>
                <w:sz w:val="24"/>
              </w:rPr>
              <w:t>的思路讲授，条例清楚，易于学生理解。</w:t>
            </w:r>
          </w:p>
          <w:p w14:paraId="2C7C0BF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环节二：</w:t>
            </w:r>
          </w:p>
          <w:p w14:paraId="2DE3AE7D">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12A9CE40">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175A22C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环节三：</w:t>
            </w:r>
          </w:p>
          <w:p w14:paraId="77F3EDBF">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rPr>
            </w:pPr>
            <w:r>
              <w:rPr>
                <w:rFonts w:hint="eastAsia" w:ascii="仿宋" w:hAnsi="仿宋" w:eastAsia="仿宋" w:cs="仿宋"/>
                <w:sz w:val="24"/>
              </w:rPr>
              <w:t>结合学生案例分析结果、教师归纳讲解使知识体系更完整。</w:t>
            </w:r>
          </w:p>
          <w:p w14:paraId="63F4BBF5">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rPr>
            </w:pPr>
          </w:p>
        </w:tc>
      </w:tr>
      <w:tr w14:paraId="0AA19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709E7AC">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 xml:space="preserve">总结                         </w:t>
            </w:r>
          </w:p>
          <w:p w14:paraId="62099E9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drawing>
                <wp:inline distT="0" distB="0" distL="114300" distR="114300">
                  <wp:extent cx="996950" cy="908050"/>
                  <wp:effectExtent l="0" t="0" r="12700" b="6350"/>
                  <wp:docPr id="41" name="图片 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8" descr="1"/>
                          <pic:cNvPicPr>
                            <a:picLocks noChangeAspect="1"/>
                          </pic:cNvPicPr>
                        </pic:nvPicPr>
                        <pic:blipFill>
                          <a:blip r:embed="rId15"/>
                          <a:srcRect l="3087" t="16884" b="55708"/>
                          <a:stretch>
                            <a:fillRect/>
                          </a:stretch>
                        </pic:blipFill>
                        <pic:spPr>
                          <a:xfrm>
                            <a:off x="0" y="0"/>
                            <a:ext cx="996950" cy="908050"/>
                          </a:xfrm>
                          <a:prstGeom prst="rect">
                            <a:avLst/>
                          </a:prstGeom>
                          <a:noFill/>
                          <a:ln>
                            <a:noFill/>
                          </a:ln>
                        </pic:spPr>
                      </pic:pic>
                    </a:graphicData>
                  </a:graphic>
                </wp:inline>
              </w:drawing>
            </w:r>
          </w:p>
        </w:tc>
        <w:tc>
          <w:tcPr>
            <w:tcW w:w="3078" w:type="dxa"/>
            <w:vAlign w:val="top"/>
          </w:tcPr>
          <w:p w14:paraId="26157F9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结合思维导图呈现本节课知识脉络和重点内容</w:t>
            </w:r>
          </w:p>
        </w:tc>
        <w:tc>
          <w:tcPr>
            <w:tcW w:w="2462" w:type="dxa"/>
            <w:vAlign w:val="top"/>
          </w:tcPr>
          <w:p w14:paraId="21CC85F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rPr>
              <w:t>回顾内容</w:t>
            </w:r>
          </w:p>
          <w:p w14:paraId="25F3D17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w:t>
            </w:r>
            <w:r>
              <w:rPr>
                <w:rFonts w:hint="default" w:ascii="仿宋" w:hAnsi="仿宋" w:eastAsia="仿宋" w:cs="仿宋"/>
                <w:sz w:val="24"/>
              </w:rPr>
              <w:t>.</w:t>
            </w:r>
            <w:r>
              <w:rPr>
                <w:rFonts w:hint="eastAsia" w:ascii="仿宋" w:hAnsi="仿宋" w:eastAsia="仿宋" w:cs="仿宋"/>
                <w:sz w:val="24"/>
              </w:rPr>
              <w:t>回答提问</w:t>
            </w:r>
          </w:p>
          <w:p w14:paraId="15B71DAB">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3231" w:type="dxa"/>
            <w:vAlign w:val="top"/>
          </w:tcPr>
          <w:p w14:paraId="2CF9EA6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0838C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3A2D1E2">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作业</w:t>
            </w:r>
            <w:r>
              <w:rPr>
                <w:rFonts w:hint="default" w:ascii="仿宋" w:hAnsi="仿宋" w:eastAsia="仿宋" w:cs="仿宋"/>
                <w:sz w:val="24"/>
              </w:rPr>
              <w:t xml:space="preserve"> </w:t>
            </w:r>
          </w:p>
          <w:p w14:paraId="485AB7E6">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3078" w:type="dxa"/>
            <w:vAlign w:val="top"/>
          </w:tcPr>
          <w:p w14:paraId="5B4DC280">
            <w:pPr>
              <w:keepNext w:val="0"/>
              <w:keepLines w:val="0"/>
              <w:numPr>
                <w:ilvl w:val="0"/>
                <w:numId w:val="4"/>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课本上【直击护考】单元作业</w:t>
            </w:r>
          </w:p>
          <w:p w14:paraId="512BA16F">
            <w:pPr>
              <w:keepNext w:val="0"/>
              <w:keepLines w:val="0"/>
              <w:numPr>
                <w:ilvl w:val="0"/>
                <w:numId w:val="4"/>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查阅职教云平台上案例分析资源</w:t>
            </w:r>
          </w:p>
        </w:tc>
        <w:tc>
          <w:tcPr>
            <w:tcW w:w="2462" w:type="dxa"/>
            <w:vAlign w:val="top"/>
          </w:tcPr>
          <w:p w14:paraId="11DCFF9C">
            <w:pPr>
              <w:keepNext w:val="0"/>
              <w:keepLines w:val="0"/>
              <w:numPr>
                <w:ilvl w:val="0"/>
                <w:numId w:val="5"/>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做课后练习题</w:t>
            </w:r>
          </w:p>
          <w:p w14:paraId="6646C6CE">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4367DADC">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2.查阅资源，进行案例分析和知识应用</w:t>
            </w:r>
          </w:p>
        </w:tc>
        <w:tc>
          <w:tcPr>
            <w:tcW w:w="3231" w:type="dxa"/>
            <w:vAlign w:val="top"/>
          </w:tcPr>
          <w:p w14:paraId="38A40AA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通过课后作业、查阅资源，加强对知识的巩固，案例分析资源可提升知识运用的能力，</w:t>
            </w:r>
            <w:r>
              <w:rPr>
                <w:rFonts w:hint="eastAsia" w:ascii="仿宋" w:hAnsi="仿宋" w:eastAsia="仿宋" w:cs="仿宋"/>
                <w:b/>
                <w:bCs/>
                <w:color w:val="FF0000"/>
                <w:sz w:val="24"/>
                <w:lang w:eastAsia="zh-Hans"/>
              </w:rPr>
              <w:t>培养学生的可持续发展能力。</w:t>
            </w:r>
          </w:p>
        </w:tc>
      </w:tr>
      <w:tr w14:paraId="45C0B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048036BE">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（三）课后强巩固</w:t>
            </w:r>
          </w:p>
        </w:tc>
      </w:tr>
      <w:tr w14:paraId="1244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0DB87E1C">
            <w:pPr>
              <w:keepNext w:val="0"/>
              <w:keepLines w:val="0"/>
              <w:suppressLineNumbers w:val="0"/>
              <w:spacing w:before="0" w:beforeAutospacing="0" w:after="0" w:afterAutospacing="0" w:line="360" w:lineRule="auto"/>
              <w:ind w:left="0" w:right="0"/>
              <w:rPr>
                <w:rFonts w:hint="default" w:ascii="仿宋" w:hAnsi="仿宋" w:eastAsia="仿宋" w:cs="仿宋"/>
                <w:b/>
                <w:sz w:val="28"/>
                <w:szCs w:val="28"/>
              </w:rPr>
            </w:pPr>
            <w:r>
              <w:rPr>
                <w:rFonts w:hint="eastAsia" w:ascii="仿宋" w:hAnsi="仿宋" w:eastAsia="仿宋" w:cs="仿宋"/>
                <w:b/>
                <w:bCs/>
                <w:sz w:val="28"/>
                <w:szCs w:val="28"/>
              </w:rPr>
              <w:t>课后任务</w:t>
            </w:r>
          </w:p>
        </w:tc>
        <w:tc>
          <w:tcPr>
            <w:tcW w:w="3078" w:type="dxa"/>
            <w:shd w:val="clear" w:color="auto" w:fill="DEEAF6"/>
            <w:vAlign w:val="top"/>
          </w:tcPr>
          <w:p w14:paraId="79CAB2FD">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b/>
                <w:bCs/>
                <w:sz w:val="28"/>
                <w:szCs w:val="28"/>
              </w:rPr>
              <w:t>教师活动</w:t>
            </w:r>
          </w:p>
        </w:tc>
        <w:tc>
          <w:tcPr>
            <w:tcW w:w="2462" w:type="dxa"/>
            <w:shd w:val="clear" w:color="auto" w:fill="DEEAF6"/>
            <w:vAlign w:val="top"/>
          </w:tcPr>
          <w:p w14:paraId="7041844D">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b/>
                <w:bCs/>
                <w:sz w:val="28"/>
                <w:szCs w:val="28"/>
              </w:rPr>
              <w:t>学生活动</w:t>
            </w:r>
          </w:p>
        </w:tc>
        <w:tc>
          <w:tcPr>
            <w:tcW w:w="3231" w:type="dxa"/>
            <w:shd w:val="clear" w:color="auto" w:fill="DEEAF6"/>
            <w:vAlign w:val="top"/>
          </w:tcPr>
          <w:p w14:paraId="1C7D697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b/>
                <w:bCs/>
                <w:sz w:val="28"/>
                <w:szCs w:val="28"/>
              </w:rPr>
              <w:t>设计意图</w:t>
            </w:r>
          </w:p>
        </w:tc>
      </w:tr>
      <w:tr w14:paraId="58476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B2F8D4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1.完成课后作业</w:t>
            </w:r>
          </w:p>
        </w:tc>
        <w:tc>
          <w:tcPr>
            <w:tcW w:w="3078" w:type="dxa"/>
            <w:vAlign w:val="top"/>
          </w:tcPr>
          <w:p w14:paraId="6A4ACC6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default" w:ascii="仿宋" w:hAnsi="仿宋" w:eastAsia="仿宋" w:cs="仿宋"/>
                <w:sz w:val="24"/>
              </w:rPr>
              <w:t>1</w:t>
            </w:r>
            <w:r>
              <w:rPr>
                <w:rFonts w:hint="eastAsia" w:ascii="仿宋" w:hAnsi="仿宋" w:eastAsia="仿宋" w:cs="仿宋"/>
                <w:sz w:val="24"/>
              </w:rPr>
              <w:t>.发布课后作业任务要求</w:t>
            </w:r>
          </w:p>
        </w:tc>
        <w:tc>
          <w:tcPr>
            <w:tcW w:w="2462" w:type="dxa"/>
            <w:vAlign w:val="top"/>
          </w:tcPr>
          <w:p w14:paraId="52908AD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1.初步完成课后作业</w:t>
            </w:r>
          </w:p>
        </w:tc>
        <w:tc>
          <w:tcPr>
            <w:tcW w:w="3231" w:type="dxa"/>
            <w:vAlign w:val="top"/>
          </w:tcPr>
          <w:p w14:paraId="0E2C65BB">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12C4F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7260BAE">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2.强化考点</w:t>
            </w:r>
          </w:p>
        </w:tc>
        <w:tc>
          <w:tcPr>
            <w:tcW w:w="3078" w:type="dxa"/>
            <w:vAlign w:val="top"/>
          </w:tcPr>
          <w:p w14:paraId="199ADAD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w:t>
            </w:r>
            <w:r>
              <w:rPr>
                <w:rFonts w:hint="eastAsia" w:ascii="仿宋" w:hAnsi="仿宋" w:eastAsia="仿宋" w:cs="仿宋"/>
                <w:sz w:val="24"/>
                <w:lang w:eastAsia="zh-Hans"/>
              </w:rPr>
              <w:t>发布教学平台小测。</w:t>
            </w:r>
          </w:p>
        </w:tc>
        <w:tc>
          <w:tcPr>
            <w:tcW w:w="2462" w:type="dxa"/>
            <w:vAlign w:val="top"/>
          </w:tcPr>
          <w:p w14:paraId="64C95E2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w:t>
            </w:r>
            <w:r>
              <w:rPr>
                <w:rFonts w:hint="eastAsia" w:ascii="仿宋" w:hAnsi="仿宋" w:eastAsia="仿宋" w:cs="仿宋"/>
                <w:sz w:val="24"/>
                <w:lang w:eastAsia="zh-Hans"/>
              </w:rPr>
              <w:t>完成课后小测。由组长负责督导80分</w:t>
            </w:r>
            <w:r>
              <w:rPr>
                <w:rFonts w:hint="eastAsia" w:ascii="仿宋" w:hAnsi="仿宋" w:eastAsia="仿宋" w:cs="仿宋"/>
                <w:sz w:val="24"/>
              </w:rPr>
              <w:t>以下</w:t>
            </w:r>
            <w:r>
              <w:rPr>
                <w:rFonts w:hint="eastAsia" w:ascii="仿宋" w:hAnsi="仿宋" w:eastAsia="仿宋" w:cs="仿宋"/>
                <w:sz w:val="24"/>
                <w:lang w:eastAsia="zh-Hans"/>
              </w:rPr>
              <w:t>学生强化巩固知识点，直至课后小测达到良好</w:t>
            </w:r>
          </w:p>
        </w:tc>
        <w:tc>
          <w:tcPr>
            <w:tcW w:w="3231" w:type="dxa"/>
            <w:vAlign w:val="top"/>
          </w:tcPr>
          <w:p w14:paraId="1C2D593B">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lang w:eastAsia="zh-Hans"/>
              </w:rPr>
              <w:t>关注学生个体发展差异，形成班内良好的互帮互助互赶</w:t>
            </w:r>
            <w:r>
              <w:rPr>
                <w:rFonts w:hint="eastAsia" w:ascii="仿宋" w:hAnsi="仿宋" w:eastAsia="仿宋" w:cs="仿宋"/>
                <w:sz w:val="24"/>
              </w:rPr>
              <w:t>的</w:t>
            </w:r>
            <w:r>
              <w:rPr>
                <w:rFonts w:hint="eastAsia" w:ascii="仿宋" w:hAnsi="仿宋" w:eastAsia="仿宋" w:cs="仿宋"/>
                <w:sz w:val="24"/>
                <w:lang w:eastAsia="zh-Hans"/>
              </w:rPr>
              <w:t>教学局面</w:t>
            </w:r>
          </w:p>
        </w:tc>
      </w:tr>
      <w:tr w14:paraId="0917E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866C17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（四）课后反思</w:t>
            </w:r>
          </w:p>
        </w:tc>
      </w:tr>
      <w:tr w14:paraId="35552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75DB01FD">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6DE83128">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7FB2BB3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06C65980">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7D6F63D0">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p>
        </w:tc>
      </w:tr>
    </w:tbl>
    <w:p w14:paraId="050F8B97">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950F174E-410F-404F-B96F-E7153AF424AB}"/>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5C8422C8-289C-491E-96A1-1CEC98A28B9F}"/>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abstractNum w:abstractNumId="3">
    <w:nsid w:val="61264D4F"/>
    <w:multiLevelType w:val="singleLevel"/>
    <w:tmpl w:val="61264D4F"/>
    <w:lvl w:ilvl="0" w:tentative="0">
      <w:start w:val="2"/>
      <w:numFmt w:val="decimal"/>
      <w:suff w:val="nothing"/>
      <w:lvlText w:val="%1."/>
      <w:lvlJc w:val="left"/>
    </w:lvl>
  </w:abstractNum>
  <w:abstractNum w:abstractNumId="4">
    <w:nsid w:val="61264DD6"/>
    <w:multiLevelType w:val="singleLevel"/>
    <w:tmpl w:val="61264DD6"/>
    <w:lvl w:ilvl="0" w:tentative="0">
      <w:start w:val="2"/>
      <w:numFmt w:val="decimal"/>
      <w:suff w:val="nothing"/>
      <w:lvlText w:val="%1."/>
      <w:lvlJc w:val="left"/>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E3C75E8"/>
    <w:rsid w:val="1FB84519"/>
    <w:rsid w:val="2003061B"/>
    <w:rsid w:val="20F13C9B"/>
    <w:rsid w:val="238347DF"/>
    <w:rsid w:val="24B477DD"/>
    <w:rsid w:val="278141AB"/>
    <w:rsid w:val="28B578A7"/>
    <w:rsid w:val="2B937D0B"/>
    <w:rsid w:val="322A12C5"/>
    <w:rsid w:val="34AD60CD"/>
    <w:rsid w:val="34B67F89"/>
    <w:rsid w:val="368D542E"/>
    <w:rsid w:val="388B134B"/>
    <w:rsid w:val="436C72A2"/>
    <w:rsid w:val="43CD7F64"/>
    <w:rsid w:val="44B33A23"/>
    <w:rsid w:val="45C91BBA"/>
    <w:rsid w:val="49B62C9D"/>
    <w:rsid w:val="49F8701E"/>
    <w:rsid w:val="4C7F0E23"/>
    <w:rsid w:val="4DE374C2"/>
    <w:rsid w:val="533C039D"/>
    <w:rsid w:val="582E68E8"/>
    <w:rsid w:val="5A7C6694"/>
    <w:rsid w:val="5F076D88"/>
    <w:rsid w:val="5FFC3909"/>
    <w:rsid w:val="600E33E1"/>
    <w:rsid w:val="622A303A"/>
    <w:rsid w:val="6C043BFD"/>
    <w:rsid w:val="701B1D7B"/>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3.jpe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2224</Words>
  <Characters>2280</Characters>
  <Lines>1</Lines>
  <Paragraphs>1</Paragraphs>
  <TotalTime>1</TotalTime>
  <ScaleCrop>false</ScaleCrop>
  <LinksUpToDate>false</LinksUpToDate>
  <CharactersWithSpaces>2598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2025-07-24T01:07:40Z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45245DD46C434319BC9AA86CA813D1EC_13</vt:lpwstr>
  </property>
  <property fmtid="{D5CDD505-2E9C-101B-9397-08002B2CF9AE}" pid="4" name="KSOTemplateDocerSaveRecord">
    <vt:lpwstr>eyJoZGlkIjoiOTcxZjc4Y2ViNTBlZDVmZTI3YTAxZGE1NWVmM2E2NDEiLCJ1c2VySWQiOiI0MDMzMDA2MzYifQ==</vt:lpwstr>
  </property>
</Properties>
</file>